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560" w:type="dxa"/>
        <w:tblInd w:w="-900" w:type="dxa"/>
        <w:tblLook w:val="01E0" w:firstRow="1" w:lastRow="1" w:firstColumn="1" w:lastColumn="1" w:noHBand="0" w:noVBand="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 w:firstRow="1" w:lastRow="0" w:firstColumn="1" w:lastColumn="0" w:noHBand="0" w:noVBand="1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proofErr w:type="gramStart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</w:t>
                  </w:r>
                  <w:proofErr w:type="gramEnd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 xml:space="preserve">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الهيئة الوطنية للتقويم </w:t>
                  </w:r>
                  <w:proofErr w:type="gramStart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والاعتماد</w:t>
                  </w:r>
                  <w:proofErr w:type="gramEnd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proofErr w:type="gramStart"/>
      <w:r>
        <w:rPr>
          <w:rFonts w:ascii="Arial" w:hAnsi="Arial" w:cs="AL-Mohanad" w:hint="cs"/>
          <w:b/>
          <w:bCs/>
          <w:sz w:val="28"/>
          <w:szCs w:val="28"/>
          <w:rtl/>
        </w:rPr>
        <w:t>نموذج</w:t>
      </w:r>
      <w:proofErr w:type="gramEnd"/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proofErr w:type="gramStart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</w:t>
            </w:r>
            <w:proofErr w:type="gramEnd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proofErr w:type="gramEnd"/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  <w:r w:rsidR="009531DE" w:rsidRPr="009531D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قسم الدراسات القضائية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 w:hint="cs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proofErr w:type="gramEnd"/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BF4C1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proofErr w:type="gramStart"/>
            <w:r w:rsidR="00BF4C1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النظريات</w:t>
            </w:r>
            <w:proofErr w:type="gramEnd"/>
            <w:r w:rsidR="00BF4C1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الفقهية "الضمان" (</w:t>
            </w:r>
            <w:r w:rsidR="00BF4C1D" w:rsidRPr="00BF4C1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103282</w:t>
            </w:r>
            <w:r w:rsidR="00BF4C1D" w:rsidRPr="00BF4C1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proofErr w:type="gramStart"/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  <w:proofErr w:type="gramEnd"/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AF6B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AF6B0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E81F1B" w:rsidP="00206D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في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AF6B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AF6B0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أحد أعضاء القسم المتخصصين في الفقه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AF6B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السنة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AF6B0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المستوى الرابع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</w:t>
            </w:r>
            <w:proofErr w:type="gramStart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إن</w:t>
            </w:r>
            <w:proofErr w:type="gramEnd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</w:t>
            </w:r>
            <w:proofErr w:type="gramStart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إن</w:t>
            </w:r>
            <w:proofErr w:type="gramEnd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9877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proofErr w:type="gramStart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موقع</w:t>
            </w:r>
            <w:proofErr w:type="gramEnd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المقرر إن لم يكن داخل المبنى الرئيس للمؤسسة التعليمية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9877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 xml:space="preserve">1-وصف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موجز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لنتائج التعلم الأساسية للطلبة المسجلين في المقرر:</w:t>
            </w:r>
          </w:p>
          <w:p w:rsidR="004F2930" w:rsidRPr="004F2930" w:rsidRDefault="004F2930" w:rsidP="00FD5035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</w:t>
            </w:r>
            <w:r w:rsidR="00FD503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بنظرية الضمان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</w:t>
            </w:r>
            <w:proofErr w:type="gramEnd"/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الفقه الإسلامي.</w:t>
            </w:r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تأهيل الدارس في هذه المرحلة في جانب الأنظمة المعمول بها في المحاكم </w:t>
            </w:r>
            <w:proofErr w:type="gramStart"/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السعودية .</w:t>
            </w:r>
            <w:proofErr w:type="gramEnd"/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تلبية حاجة العمل المرتبطة بعمل </w:t>
            </w:r>
            <w:proofErr w:type="gramStart"/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القضاء .</w:t>
            </w:r>
            <w:proofErr w:type="gramEnd"/>
          </w:p>
          <w:p w:rsidR="00E81F1B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القدرة النقدية عن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الدارس من خلال استيعاب الأنظمة ومراجعتها </w:t>
            </w:r>
            <w:proofErr w:type="gramStart"/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وتقويمها .</w:t>
            </w:r>
            <w:proofErr w:type="gramEnd"/>
          </w:p>
        </w:tc>
      </w:tr>
      <w:tr w:rsidR="00E81F1B" w:rsidRPr="00FC6260" w:rsidTr="00083923">
        <w:tc>
          <w:tcPr>
            <w:tcW w:w="9157" w:type="dxa"/>
          </w:tcPr>
          <w:p w:rsidR="00E81F1B" w:rsidRPr="000F2DFE" w:rsidRDefault="00E81F1B" w:rsidP="00585517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0F2DF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>صف بإيجاز أية خطط يتم تنفيذها لتطوير وتحسين  المقرر الدراسي . (مثل ال</w:t>
            </w:r>
            <w:proofErr w:type="gramStart"/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>استخدام الم</w:t>
            </w:r>
            <w:proofErr w:type="gramEnd"/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مصادر شبكة الانترنت ل</w:t>
            </w:r>
            <w:r w:rsidR="00BC13B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متابعة المستجدات في </w:t>
            </w:r>
            <w:r w:rsidR="00246FC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موضوع المقرر</w:t>
            </w: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التواصل مع المكتبات الإلكترونية والأكاديمية للحصول على مصادر علمية جديدة للمادة.</w:t>
            </w:r>
            <w:r w:rsidR="008D7E95"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مراجعة البحوث والدراسات المنشورة وغير المنشورة في الجامعات والمجلات والدوريات العربية </w:t>
            </w:r>
            <w:proofErr w:type="gramStart"/>
            <w:r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والأجنبية</w:t>
            </w:r>
            <w:proofErr w:type="gramEnd"/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7A2B27" w:rsidRPr="007A2B27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إعداد مقرر </w:t>
            </w:r>
            <w:proofErr w:type="gramStart"/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الكتروني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للمادة.</w:t>
            </w:r>
          </w:p>
          <w:p w:rsidR="00EC10D4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مشاركة الط</w:t>
            </w:r>
            <w:r w:rsidR="00EC10D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لاب باستخراج التطبيقات المعاصرة.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طبيق بعض استراتيجيات التدريس الحديثة.</w:t>
            </w:r>
          </w:p>
        </w:tc>
      </w:tr>
    </w:tbl>
    <w:p w:rsidR="00E81F1B" w:rsidRPr="00FC6260" w:rsidRDefault="00E81F1B" w:rsidP="00CB567E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</w:t>
      </w:r>
      <w:proofErr w:type="gramStart"/>
      <w:r w:rsidRPr="00FC6260">
        <w:rPr>
          <w:rFonts w:cs="AL-Mohanad"/>
          <w:sz w:val="28"/>
          <w:szCs w:val="28"/>
          <w:rtl/>
        </w:rPr>
        <w:t>عام</w:t>
      </w:r>
      <w:proofErr w:type="gramEnd"/>
      <w:r w:rsidRPr="00FC6260">
        <w:rPr>
          <w:rFonts w:cs="AL-Mohanad"/>
          <w:sz w:val="28"/>
          <w:szCs w:val="28"/>
          <w:rtl/>
        </w:rPr>
        <w:t xml:space="preserve"> في الاستمارة المستخدمة في النشرة التعريفية أو الدليل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246FCD" w:rsidRDefault="00FD5035" w:rsidP="00FD503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حقيقة الضّمان وأدلة مشروعيته .</w:t>
            </w:r>
          </w:p>
        </w:tc>
        <w:tc>
          <w:tcPr>
            <w:tcW w:w="1134" w:type="dxa"/>
            <w:vAlign w:val="center"/>
          </w:tcPr>
          <w:p w:rsidR="00E81F1B" w:rsidRPr="003F608A" w:rsidRDefault="00FD503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E81F1B" w:rsidRPr="003F608A" w:rsidRDefault="00FD503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FD5035" w:rsidRDefault="00FD5035" w:rsidP="00FD503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أركان الضمان: </w:t>
            </w:r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( </w:t>
            </w:r>
            <w:proofErr w:type="spellStart"/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الإعتداء</w:t>
            </w:r>
            <w:proofErr w:type="spellEnd"/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ـ الضّرر ـ المباشرة أو التسبب )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FD5035" w:rsidRDefault="00FD5035" w:rsidP="00FD503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شرائط الضمان:</w:t>
            </w:r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 ماليّة المتلَف ـ تحقق الضّرر بشكلٍ دائم ـ أهليّة المتلِف لوجوب الضّمان ـ أن يكون في إيجاب الضّمان فائدة </w:t>
            </w:r>
            <w:proofErr w:type="gramStart"/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 .</w:t>
            </w:r>
            <w:proofErr w:type="gramEnd"/>
          </w:p>
        </w:tc>
        <w:tc>
          <w:tcPr>
            <w:tcW w:w="1134" w:type="dxa"/>
            <w:vAlign w:val="center"/>
          </w:tcPr>
          <w:p w:rsidR="003B5CD2" w:rsidRPr="003F608A" w:rsidRDefault="00B431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B431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C13B1" w:rsidRDefault="00FD5035" w:rsidP="00412B6B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مصادر الضمان:</w:t>
            </w:r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 العقد ـ وضع اليد ـ الإتلاف ) .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B5CD2" w:rsidRPr="003F608A" w:rsidRDefault="00B431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B431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FD5035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موانع الضمان:</w:t>
            </w:r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 إذن المالك ـ إذن وليّ الأمر ـ حالة الدّفاع الشرعي ـ حالة الضرورة </w:t>
            </w:r>
            <w:proofErr w:type="gramStart"/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 .</w:t>
            </w:r>
            <w:proofErr w:type="gramEnd"/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FD5035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التعويضات: </w:t>
            </w:r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( مبدؤها ـ كيفية تقديرها ـ تقادم الحق في التعويض </w:t>
            </w:r>
            <w:proofErr w:type="gramStart"/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 .</w:t>
            </w:r>
            <w:proofErr w:type="gramEnd"/>
            <w:r w:rsidRPr="00FD503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D503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الجوابر</w:t>
            </w:r>
            <w:proofErr w:type="spellEnd"/>
            <w:r w:rsidRPr="00FD503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34" w:type="dxa"/>
            <w:vAlign w:val="center"/>
          </w:tcPr>
          <w:p w:rsidR="003B5CD2" w:rsidRPr="003F608A" w:rsidRDefault="007B2904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7B2904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FD5035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تطبيقات معاصرة:</w:t>
            </w:r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ضمــان الطبيب</w:t>
            </w:r>
            <w:r w:rsidRPr="00FD503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FD503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ضمان أخطار المصانع </w:t>
            </w:r>
            <w:r w:rsidRPr="00FD503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وإصابات العمال ـ ضمان سقوط البناء المختل من الأصل والذي طرأ عليه الاختلال ـ ضمان الشخص فعل الخاضعين لرقابته من التابعين أو حيوانه المملوك</w:t>
            </w:r>
            <w:r w:rsidRPr="00FD503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34" w:type="dxa"/>
            <w:vAlign w:val="center"/>
          </w:tcPr>
          <w:p w:rsidR="00C5472E" w:rsidRDefault="00430F76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C5472E" w:rsidRDefault="00430F76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430F76" w:rsidRPr="00FC6260" w:rsidTr="00246FCD">
        <w:tc>
          <w:tcPr>
            <w:tcW w:w="6888" w:type="dxa"/>
            <w:vAlign w:val="center"/>
          </w:tcPr>
          <w:p w:rsidR="00430F76" w:rsidRDefault="00430F76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30F76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قواعد الضّمان </w:t>
            </w:r>
            <w:proofErr w:type="gramStart"/>
            <w:r w:rsidRPr="00430F76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الفقهية .</w:t>
            </w:r>
            <w:proofErr w:type="gramEnd"/>
          </w:p>
        </w:tc>
        <w:tc>
          <w:tcPr>
            <w:tcW w:w="1134" w:type="dxa"/>
            <w:vAlign w:val="center"/>
          </w:tcPr>
          <w:p w:rsidR="00430F76" w:rsidRDefault="00430F76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430F76" w:rsidRDefault="00430F76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 w:hint="cs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8F2D19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proofErr w:type="gramStart"/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</w:t>
            </w:r>
            <w:proofErr w:type="gramEnd"/>
            <w:r w:rsidRPr="00E81F1B">
              <w:rPr>
                <w:rFonts w:ascii="Arial" w:hAnsi="Arial" w:cs="AL-Mohanad"/>
                <w:bCs/>
                <w:rtl/>
              </w:rPr>
              <w:t>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proofErr w:type="gramStart"/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proofErr w:type="gramEnd"/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ي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proofErr w:type="gramStart"/>
            <w:r w:rsidRPr="00E81F1B">
              <w:rPr>
                <w:rFonts w:ascii="Arial" w:hAnsi="Arial" w:cs="AL-Mohanad"/>
                <w:bCs/>
                <w:rtl/>
              </w:rPr>
              <w:t>عملي</w:t>
            </w:r>
            <w:proofErr w:type="gramEnd"/>
            <w:r w:rsidRPr="00E81F1B">
              <w:rPr>
                <w:rFonts w:ascii="Arial" w:hAnsi="Arial" w:cs="AL-Mohanad"/>
                <w:bCs/>
                <w:rtl/>
              </w:rPr>
              <w:t>/ميداني/ تدريبي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proofErr w:type="gramStart"/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proofErr w:type="gramEnd"/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proofErr w:type="gramStart"/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proofErr w:type="gramEnd"/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يوجد</w:t>
            </w:r>
          </w:p>
        </w:tc>
      </w:tr>
    </w:tbl>
    <w:p w:rsidR="00E81F1B" w:rsidRDefault="00E81F1B" w:rsidP="00E81F1B">
      <w:pPr>
        <w:rPr>
          <w:rFonts w:ascii="Arial" w:hAnsi="Arial" w:cs="AL-Mohanad" w:hint="cs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دراسة خاصة إضافية/ساعات التعلم المتوقع أن يستوفيها الطالب أسبوعياً. (ينبغي أن يمثل هذا المتوسط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 وليس المطلوب لكل أسبوع): </w:t>
            </w:r>
          </w:p>
          <w:p w:rsidR="00E81F1B" w:rsidRPr="008D7E95" w:rsidRDefault="008D7E95" w:rsidP="00CA6801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  <w:proofErr w:type="gramEnd"/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أسبوعية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 بمتوسط (30) ساعة في الفصل الدراسي.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بيّن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لكل من مجالات التعلم المبينة أدناه ما يلي: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المتبعة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لتقويم الطالب في المقرر الدراسي لتقييم نتائج التعلم في هذا المجال الدراسي.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gramStart"/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</w:t>
            </w:r>
            <w:proofErr w:type="gramEnd"/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585517" w:rsidRPr="00421984" w:rsidRDefault="00585517" w:rsidP="0013017A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معرفة</w:t>
            </w:r>
            <w:proofErr w:type="gramEnd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3017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نظرية الضمان</w:t>
            </w:r>
            <w:r w:rsidR="00B431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تعرف الطالب على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ضوابط</w:t>
            </w:r>
            <w:r w:rsidR="0013017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ه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13017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الشرعية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85517" w:rsidRPr="00421984" w:rsidRDefault="00585517" w:rsidP="000247DA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يحدد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جهات التقاضي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ويقارن </w:t>
            </w:r>
            <w:r w:rsidR="0065073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بين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اختصاصاتها الولائية والقضائية</w:t>
            </w:r>
            <w:r w:rsidR="00BB003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  <w:p w:rsidR="00E81F1B" w:rsidRPr="00421984" w:rsidRDefault="00585517" w:rsidP="0013017A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يمثل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للجهات المرتبطة بالقضاء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ويحلل</w:t>
            </w:r>
            <w:proofErr w:type="gramEnd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طبيعة </w:t>
            </w:r>
            <w:r w:rsidR="0013017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الضمان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 المطورة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(العروض التقديمية)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proofErr w:type="gramStart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</w:t>
            </w:r>
            <w:proofErr w:type="gramEnd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الذهني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proofErr w:type="gramStart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proofErr w:type="gramEnd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التقنيات التعليمية (الفيديو التعليمي)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بنائي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أسئلة شفهية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بحوث وأوراق عمل </w:t>
            </w:r>
            <w:proofErr w:type="gramStart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وتقارير</w:t>
            </w:r>
            <w:proofErr w:type="gramEnd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421984" w:rsidRDefault="00421984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نهائي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الاختبارات التحريرية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إنجاز الطالب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1301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ميز بين </w:t>
            </w:r>
            <w:r w:rsidR="0013017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الضمان الجائز </w:t>
            </w:r>
            <w:proofErr w:type="gramStart"/>
            <w:r w:rsidR="0013017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والضمان</w:t>
            </w:r>
            <w:proofErr w:type="gramEnd"/>
            <w:r w:rsidR="0013017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الممنوع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1301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يحلل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الإستراتيجي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ات</w:t>
            </w:r>
            <w:proofErr w:type="spellEnd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التي يتبعها الآخرون في </w:t>
            </w:r>
            <w:r w:rsidR="0013017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تحديد شروط وضوابط الضمان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1301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يحدد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3017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العملية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والمعرفية التي تنطلق منها الاستراتيجيات المختلفة</w:t>
            </w:r>
            <w:r w:rsidR="0013017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للضمان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1301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بتكر </w:t>
            </w:r>
            <w:proofErr w:type="spellStart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إستراتيجية</w:t>
            </w:r>
            <w:proofErr w:type="spellEnd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جديدة أو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ل </w:t>
            </w:r>
            <w:proofErr w:type="spellStart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إستراتيجية</w:t>
            </w:r>
            <w:proofErr w:type="spellEnd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سابقة بما يتناسب مع متغيرات </w:t>
            </w:r>
            <w:proofErr w:type="gramStart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عناصر</w:t>
            </w:r>
            <w:proofErr w:type="gramEnd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3017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التعلم في مجموعات صغيرة (ورش عمل ـ </w:t>
            </w:r>
            <w:proofErr w:type="gramStart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تعلم</w:t>
            </w:r>
            <w:proofErr w:type="gramEnd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تعاوني)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المحاكاة.</w:t>
            </w:r>
          </w:p>
          <w:p w:rsidR="00E81F1B" w:rsidRPr="00FC6260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القائم على المشاريع.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proofErr w:type="gramStart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</w:t>
            </w:r>
            <w:proofErr w:type="gramEnd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(مناقشة التقارير البحثية)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مقال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(نقد الاستراتيجيات التعليمية).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421984" w:rsidRPr="00421984" w:rsidRDefault="009B2E93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تطوير الذات شخص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ومهنيا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العمل مع جماعة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ضمن</w:t>
            </w:r>
            <w:proofErr w:type="gramEnd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فريق و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تكوين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علاقات إيجابية ناجحة مع الآخرين.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الالتزام</w:t>
            </w:r>
            <w:proofErr w:type="gramEnd"/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بالقيم المجتمعية السائدة.</w:t>
            </w:r>
          </w:p>
          <w:p w:rsidR="00E81F1B" w:rsidRPr="00B5443A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</w:t>
            </w:r>
            <w:proofErr w:type="gramEnd"/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مهارة اتخاذ القرار.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9B2E93" w:rsidRPr="009B2E93" w:rsidRDefault="001A6462" w:rsidP="00CA680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ستراتيجية التعلم المتمركز حول المشكلات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</w:t>
            </w:r>
            <w:proofErr w:type="gramEnd"/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الذهني.</w:t>
            </w:r>
          </w:p>
          <w:p w:rsidR="00E81F1B" w:rsidRPr="00B5443A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</w:t>
            </w:r>
            <w:proofErr w:type="gramEnd"/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التعاوني.</w:t>
            </w:r>
            <w:r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بطاقة ملاحظة لتق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الأداء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proofErr w:type="gramStart"/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</w:t>
            </w:r>
            <w:proofErr w:type="gramEnd"/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الأقران.</w:t>
            </w:r>
          </w:p>
          <w:p w:rsidR="00E81F1B" w:rsidRPr="006D3DAB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proofErr w:type="gramStart"/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BA3F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</w:t>
            </w:r>
            <w:proofErr w:type="gramEnd"/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الذاتي (التقارير الذاتية).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د. </w:t>
            </w:r>
            <w:proofErr w:type="gramStart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مهارات</w:t>
            </w:r>
            <w:proofErr w:type="gramEnd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التواصل مع المتعلمين </w:t>
            </w:r>
            <w:proofErr w:type="gramStart"/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لغويا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proofErr w:type="gramEnd"/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وجسديا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وعن بعد.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استخدام</w:t>
            </w:r>
            <w:proofErr w:type="gramEnd"/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وسائل الاتصال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التعليمي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الحديثة.</w:t>
            </w:r>
          </w:p>
          <w:p w:rsidR="00E81F1B" w:rsidRPr="00FC6260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استخدام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مصادر تعلم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الكترونية، ومواقع تعليمية على الويب ذات الصلة بالمقرر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proofErr w:type="gramEnd"/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الفيديو التفاعلي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E81F1B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محاكاة.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2264A" w:rsidRPr="0012264A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شفوياً.</w:t>
            </w:r>
          </w:p>
          <w:p w:rsidR="00E81F1B" w:rsidRPr="00FC6260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تقو</w:t>
            </w:r>
            <w:r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التكليفات الفردية والجماعية.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</w:t>
            </w:r>
            <w:proofErr w:type="gramStart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إن</w:t>
            </w:r>
            <w:proofErr w:type="gramEnd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08392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</w:rPr>
              <w:t>توصيف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</w:rPr>
              <w:t>طرق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5. جدول 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مهام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مهمة التقويم (كتابة 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التكليفات والمشاريع الفردية والجماعية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</w:t>
            </w:r>
            <w:r w:rsidR="001A646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D58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نصفي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الحضور </w:t>
            </w:r>
            <w:proofErr w:type="gramStart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والمشاركة</w:t>
            </w:r>
            <w:proofErr w:type="gramEnd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الفعالة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1- 1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0F2DFE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د.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>الدعم</w:t>
      </w:r>
      <w:proofErr w:type="gramEnd"/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</w:rPr>
              <w:t>تدابير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Pr="00295394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الساعات المكتبية</w:t>
            </w:r>
            <w:r w:rsidRPr="0029539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</w:t>
            </w:r>
            <w:proofErr w:type="gramStart"/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ست</w:t>
            </w:r>
            <w:proofErr w:type="gramEnd"/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ساعات أسبوعيا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E81F1B" w:rsidRPr="00FC6260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التواصل عبر </w:t>
            </w:r>
            <w:proofErr w:type="gramStart"/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الموقع</w:t>
            </w:r>
            <w:proofErr w:type="gramEnd"/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الإلكتروني للجامعة.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lastRenderedPageBreak/>
        <w:t xml:space="preserve">هـ . </w:t>
      </w:r>
      <w:proofErr w:type="gramStart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مصادر</w:t>
      </w:r>
      <w:proofErr w:type="gramEnd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966D2" w:rsidRPr="004966D2" w:rsidRDefault="004966D2" w:rsidP="004966D2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1 )  الكتب الفقهية المعتمدة في المذاهب الأربعة .</w:t>
            </w:r>
          </w:p>
          <w:p w:rsidR="004966D2" w:rsidRPr="004966D2" w:rsidRDefault="004966D2" w:rsidP="004966D2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 </w:t>
            </w:r>
            <w:proofErr w:type="gramStart"/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  نظرية</w:t>
            </w:r>
            <w:proofErr w:type="gramEnd"/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الضّمان في الفقه الإسلامي العام ، للدكتور : محمد فوزي فيض الله .</w:t>
            </w:r>
          </w:p>
          <w:p w:rsidR="004966D2" w:rsidRPr="004966D2" w:rsidRDefault="004966D2" w:rsidP="004966D2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3 )  نظرية الضّمان في الفقه الإسلامي ، للدكتور : وهبة </w:t>
            </w:r>
            <w:proofErr w:type="spellStart"/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الزحيلي</w:t>
            </w:r>
            <w:proofErr w:type="spellEnd"/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4966D2" w:rsidRPr="004966D2" w:rsidRDefault="004966D2" w:rsidP="004966D2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 </w:t>
            </w:r>
            <w:proofErr w:type="gramStart"/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  مجمع</w:t>
            </w:r>
            <w:proofErr w:type="gramEnd"/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الضّمانات ، للبغدادي .</w:t>
            </w:r>
            <w:r w:rsidRPr="004966D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</w:p>
          <w:p w:rsidR="00E81F1B" w:rsidRPr="004966D2" w:rsidRDefault="004966D2" w:rsidP="004966D2">
            <w:pPr>
              <w:spacing w:after="0" w:line="240" w:lineRule="auto"/>
              <w:jc w:val="lowKashida"/>
            </w:pPr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 </w:t>
            </w:r>
            <w:proofErr w:type="gramStart"/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  الضّمان</w:t>
            </w:r>
            <w:proofErr w:type="gramEnd"/>
            <w:r w:rsidRPr="004966D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في الفقه الإسلامي ، للشيخ : على الخفيف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،.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الخ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يوجد.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150B61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الخ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لا يوجد.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</w:t>
            </w:r>
            <w:proofErr w:type="spellEnd"/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و . </w:t>
      </w:r>
      <w:proofErr w:type="gramStart"/>
      <w:r>
        <w:rPr>
          <w:rFonts w:ascii="Arial" w:hAnsi="Arial" w:cs="AL-Mohanad"/>
          <w:b/>
          <w:bCs/>
          <w:sz w:val="28"/>
          <w:szCs w:val="28"/>
          <w:rtl/>
        </w:rPr>
        <w:t>المرافق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 xml:space="preserve">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متطلبات  المقرر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</w:rPr>
              <w:t>،.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>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896AA4" w:rsidP="00896AA4">
            <w:pPr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قاعات دراسية مجهزة, وتتوافر بها طاولات مستديرة من أجل تفعيل عدد من طرق التدريس المناسبة, وتتوافر فيها الأجهزة المناسبة أدناه.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</w:t>
            </w:r>
            <w:proofErr w:type="gramEnd"/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</w:t>
            </w:r>
            <w:proofErr w:type="gram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عرض البيانات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Data Show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</w:t>
            </w:r>
            <w:proofErr w:type="gram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عرض الشفافيات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Over Head Projector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فيديو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تلفزيو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 xml:space="preserve">صادر </w:t>
            </w:r>
            <w:proofErr w:type="gramStart"/>
            <w:r w:rsidR="006F75FA">
              <w:rPr>
                <w:rFonts w:ascii="Arial" w:hAnsi="Arial" w:cs="AL-Mohanad"/>
                <w:sz w:val="28"/>
                <w:szCs w:val="28"/>
                <w:rtl/>
              </w:rPr>
              <w:t>أخرى</w:t>
            </w:r>
            <w:proofErr w:type="gramEnd"/>
            <w:r w:rsidR="006F75FA">
              <w:rPr>
                <w:rFonts w:ascii="Arial" w:hAnsi="Arial" w:cs="AL-Mohanad"/>
                <w:sz w:val="28"/>
                <w:szCs w:val="28"/>
                <w:rtl/>
              </w:rPr>
              <w:t xml:space="preserve"> (</w:t>
            </w:r>
            <w:proofErr w:type="spellStart"/>
            <w:r w:rsidR="006F75FA">
              <w:rPr>
                <w:rFonts w:ascii="Arial" w:hAnsi="Arial" w:cs="AL-Mohanad"/>
                <w:sz w:val="28"/>
                <w:szCs w:val="28"/>
                <w:rtl/>
              </w:rPr>
              <w:t>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مثل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lastRenderedPageBreak/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>تقييم</w:t>
      </w:r>
      <w:proofErr w:type="gramEnd"/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استبانه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تقيس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مدى رضى الطالب وقناعته بأداء المدرس، وفهمه واستيعابه وتقبله لما تم.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مقابلة</w:t>
            </w:r>
            <w:proofErr w:type="gram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عينة من طلاب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</w:t>
            </w:r>
            <w:proofErr w:type="gramEnd"/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الذاتي.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استخدام </w:t>
            </w:r>
            <w:proofErr w:type="gramStart"/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أداة  لقياس</w:t>
            </w:r>
            <w:proofErr w:type="gramEnd"/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التفاعل اللفظي داخل الصف.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زيارات متبادلة </w:t>
            </w:r>
            <w:proofErr w:type="gramStart"/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بين</w:t>
            </w:r>
            <w:proofErr w:type="gramEnd"/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أعضاء هيئة التدريس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استطلاع آراء الزملاء المشاركين في تدريس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proofErr w:type="gramEnd"/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مراجعة آراء الطلاب والزملاء والرؤساء أولا بأول، ووضع أداة لقياس التفاعل </w:t>
            </w:r>
            <w:proofErr w:type="gramStart"/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داخل</w:t>
            </w:r>
            <w:proofErr w:type="gramEnd"/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قاعة الدرس.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ورش</w:t>
            </w:r>
            <w:proofErr w:type="gramEnd"/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عمل ودورات تدريبية لتنمية مهارات أعضاء هيئة التدريس.</w:t>
            </w:r>
          </w:p>
          <w:p w:rsidR="00E81F1B" w:rsidRPr="00FC6260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الاجتماعات </w:t>
            </w:r>
            <w:proofErr w:type="gramStart"/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الدورية</w:t>
            </w:r>
            <w:proofErr w:type="gramEnd"/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لأعضاء القسم لتبادل الخبرات.</w:t>
            </w:r>
          </w:p>
        </w:tc>
      </w:tr>
      <w:tr w:rsidR="00E81F1B" w:rsidRPr="00FC6260" w:rsidTr="00336676">
        <w:trPr>
          <w:trHeight w:val="1266"/>
        </w:trPr>
        <w:tc>
          <w:tcPr>
            <w:tcW w:w="9356" w:type="dxa"/>
          </w:tcPr>
          <w:p w:rsidR="00E81F1B" w:rsidRPr="00103CE1" w:rsidRDefault="00E81F1B" w:rsidP="00585517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مدرسين  مستقلين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75F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يمكن استخدام واحد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ٍ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أو أكثر من الأساليب الآتية :</w:t>
            </w:r>
          </w:p>
          <w:p w:rsidR="003C2274" w:rsidRPr="003C2274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تدقيق</w:t>
            </w:r>
            <w:proofErr w:type="gramEnd"/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ومراجعة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عينة من أعمال الطلبة بواسطة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لجنة خاصة من القسم.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C2274" w:rsidRPr="003C2274" w:rsidRDefault="006F75FA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التبادل بصورة دورية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لتصحيح </w:t>
            </w:r>
            <w:proofErr w:type="gramStart"/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الاختبارات</w:t>
            </w:r>
            <w:proofErr w:type="gramEnd"/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مع طاقم تدريس من مؤسسة أخرى</w:t>
            </w:r>
            <w:r w:rsidR="003C2274"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336676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المشاركة والتبادل في التصحيح وال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بين الزملاء الذين يدرسون </w:t>
            </w:r>
            <w:proofErr w:type="gramStart"/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نفس</w:t>
            </w:r>
            <w:proofErr w:type="gramEnd"/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توصيف المقرر ومفرداته بشكل دوري.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استشارة الزملاء الذين يدرسون </w:t>
            </w:r>
            <w:proofErr w:type="gramStart"/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نفس</w:t>
            </w:r>
            <w:proofErr w:type="gramEnd"/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المقرر حول توزيع الموضوعات وطرق التقويم المتبعة وغيرها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تحديث</w:t>
            </w:r>
            <w:proofErr w:type="gramEnd"/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مصادر التعلم المرتبطة بالمقرر.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الاستفادة من آراء المختصين </w:t>
            </w:r>
            <w:r w:rsidR="001A64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 مادة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تعرف</w:t>
            </w:r>
            <w:proofErr w:type="gramEnd"/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مدى إفادة الطلاب من هذا الم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قرر في مقررات أخرى ذات الصلة به.</w:t>
            </w:r>
          </w:p>
          <w:p w:rsidR="003C2274" w:rsidRP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الاطلاع على الأبحاث في مجال التخصص (العربية والأجنبية).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نتائج تقويم الطلاب في تطوير المقرر.</w:t>
            </w:r>
          </w:p>
          <w:p w:rsidR="00E81F1B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المقارنة بمقررات مماثلة في جامعات أخرى.</w:t>
            </w:r>
          </w:p>
        </w:tc>
      </w:tr>
    </w:tbl>
    <w:p w:rsidR="00D0162C" w:rsidRDefault="00D0162C"/>
    <w:sectPr w:rsidR="00D0162C" w:rsidSect="001A6462">
      <w:footerReference w:type="default" r:id="rId10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C2" w:rsidRDefault="00D269C2" w:rsidP="00314301">
      <w:pPr>
        <w:spacing w:after="0" w:line="240" w:lineRule="auto"/>
      </w:pPr>
      <w:r>
        <w:separator/>
      </w:r>
    </w:p>
  </w:endnote>
  <w:endnote w:type="continuationSeparator" w:id="0">
    <w:p w:rsidR="00D269C2" w:rsidRDefault="00D269C2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585517" w:rsidRDefault="00D269C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B6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85517" w:rsidRDefault="005855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C2" w:rsidRDefault="00D269C2" w:rsidP="00314301">
      <w:pPr>
        <w:spacing w:after="0" w:line="240" w:lineRule="auto"/>
      </w:pPr>
      <w:r>
        <w:separator/>
      </w:r>
    </w:p>
  </w:footnote>
  <w:footnote w:type="continuationSeparator" w:id="0">
    <w:p w:rsidR="00D269C2" w:rsidRDefault="00D269C2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0"/>
  </w:num>
  <w:num w:numId="5">
    <w:abstractNumId w:val="35"/>
  </w:num>
  <w:num w:numId="6">
    <w:abstractNumId w:val="19"/>
  </w:num>
  <w:num w:numId="7">
    <w:abstractNumId w:val="8"/>
  </w:num>
  <w:num w:numId="8">
    <w:abstractNumId w:val="31"/>
  </w:num>
  <w:num w:numId="9">
    <w:abstractNumId w:val="12"/>
  </w:num>
  <w:num w:numId="10">
    <w:abstractNumId w:val="4"/>
  </w:num>
  <w:num w:numId="11">
    <w:abstractNumId w:val="5"/>
  </w:num>
  <w:num w:numId="12">
    <w:abstractNumId w:val="26"/>
  </w:num>
  <w:num w:numId="13">
    <w:abstractNumId w:val="25"/>
  </w:num>
  <w:num w:numId="14">
    <w:abstractNumId w:val="7"/>
  </w:num>
  <w:num w:numId="15">
    <w:abstractNumId w:val="23"/>
  </w:num>
  <w:num w:numId="16">
    <w:abstractNumId w:val="20"/>
  </w:num>
  <w:num w:numId="17">
    <w:abstractNumId w:val="3"/>
  </w:num>
  <w:num w:numId="18">
    <w:abstractNumId w:val="2"/>
  </w:num>
  <w:num w:numId="19">
    <w:abstractNumId w:val="11"/>
  </w:num>
  <w:num w:numId="20">
    <w:abstractNumId w:val="10"/>
  </w:num>
  <w:num w:numId="21">
    <w:abstractNumId w:val="29"/>
  </w:num>
  <w:num w:numId="22">
    <w:abstractNumId w:val="13"/>
  </w:num>
  <w:num w:numId="23">
    <w:abstractNumId w:val="32"/>
  </w:num>
  <w:num w:numId="24">
    <w:abstractNumId w:val="34"/>
  </w:num>
  <w:num w:numId="25">
    <w:abstractNumId w:val="24"/>
  </w:num>
  <w:num w:numId="26">
    <w:abstractNumId w:val="15"/>
  </w:num>
  <w:num w:numId="27">
    <w:abstractNumId w:val="33"/>
  </w:num>
  <w:num w:numId="28">
    <w:abstractNumId w:val="17"/>
  </w:num>
  <w:num w:numId="29">
    <w:abstractNumId w:val="6"/>
  </w:num>
  <w:num w:numId="30">
    <w:abstractNumId w:val="28"/>
  </w:num>
  <w:num w:numId="31">
    <w:abstractNumId w:val="22"/>
  </w:num>
  <w:num w:numId="32">
    <w:abstractNumId w:val="36"/>
  </w:num>
  <w:num w:numId="33">
    <w:abstractNumId w:val="9"/>
  </w:num>
  <w:num w:numId="34">
    <w:abstractNumId w:val="27"/>
  </w:num>
  <w:num w:numId="35">
    <w:abstractNumId w:val="14"/>
  </w:num>
  <w:num w:numId="36">
    <w:abstractNumId w:val="18"/>
  </w:num>
  <w:num w:numId="3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21D98"/>
    <w:rsid w:val="000247DA"/>
    <w:rsid w:val="0003736F"/>
    <w:rsid w:val="00083923"/>
    <w:rsid w:val="00096169"/>
    <w:rsid w:val="000F0929"/>
    <w:rsid w:val="000F2DFE"/>
    <w:rsid w:val="0012264A"/>
    <w:rsid w:val="0013017A"/>
    <w:rsid w:val="00136EB0"/>
    <w:rsid w:val="00150B61"/>
    <w:rsid w:val="001A6462"/>
    <w:rsid w:val="00206D28"/>
    <w:rsid w:val="00246FCD"/>
    <w:rsid w:val="00295394"/>
    <w:rsid w:val="002C68E3"/>
    <w:rsid w:val="002F0676"/>
    <w:rsid w:val="00314301"/>
    <w:rsid w:val="00336676"/>
    <w:rsid w:val="00340D7D"/>
    <w:rsid w:val="003B5CD2"/>
    <w:rsid w:val="003C2274"/>
    <w:rsid w:val="003D364D"/>
    <w:rsid w:val="003E476D"/>
    <w:rsid w:val="003F608A"/>
    <w:rsid w:val="00412B6B"/>
    <w:rsid w:val="00421984"/>
    <w:rsid w:val="00430F76"/>
    <w:rsid w:val="0043260B"/>
    <w:rsid w:val="004907EB"/>
    <w:rsid w:val="004966D2"/>
    <w:rsid w:val="004D577B"/>
    <w:rsid w:val="004F2930"/>
    <w:rsid w:val="00571DA4"/>
    <w:rsid w:val="00575479"/>
    <w:rsid w:val="00585517"/>
    <w:rsid w:val="00591E89"/>
    <w:rsid w:val="005D238C"/>
    <w:rsid w:val="0060763F"/>
    <w:rsid w:val="00614CB5"/>
    <w:rsid w:val="00650733"/>
    <w:rsid w:val="006516D9"/>
    <w:rsid w:val="00660429"/>
    <w:rsid w:val="006840B2"/>
    <w:rsid w:val="006F34F5"/>
    <w:rsid w:val="006F447B"/>
    <w:rsid w:val="006F75FA"/>
    <w:rsid w:val="00700BD5"/>
    <w:rsid w:val="007614E5"/>
    <w:rsid w:val="007845AC"/>
    <w:rsid w:val="007A2B27"/>
    <w:rsid w:val="007B2904"/>
    <w:rsid w:val="007B326A"/>
    <w:rsid w:val="007B5A40"/>
    <w:rsid w:val="007C1649"/>
    <w:rsid w:val="007E5A7E"/>
    <w:rsid w:val="00825C49"/>
    <w:rsid w:val="00867E8B"/>
    <w:rsid w:val="0088796C"/>
    <w:rsid w:val="00896AA4"/>
    <w:rsid w:val="008C11EA"/>
    <w:rsid w:val="008D7E95"/>
    <w:rsid w:val="008F2D19"/>
    <w:rsid w:val="00940E0C"/>
    <w:rsid w:val="009531DE"/>
    <w:rsid w:val="0096453A"/>
    <w:rsid w:val="00987798"/>
    <w:rsid w:val="009B2E93"/>
    <w:rsid w:val="009C316C"/>
    <w:rsid w:val="009D1C44"/>
    <w:rsid w:val="009E3009"/>
    <w:rsid w:val="00A055AF"/>
    <w:rsid w:val="00A870AD"/>
    <w:rsid w:val="00A94704"/>
    <w:rsid w:val="00AA6774"/>
    <w:rsid w:val="00AD5BD7"/>
    <w:rsid w:val="00AF6B0F"/>
    <w:rsid w:val="00AF71D8"/>
    <w:rsid w:val="00B274E5"/>
    <w:rsid w:val="00B41727"/>
    <w:rsid w:val="00B41B5F"/>
    <w:rsid w:val="00B43147"/>
    <w:rsid w:val="00B638C9"/>
    <w:rsid w:val="00BA3F9F"/>
    <w:rsid w:val="00BA6DB0"/>
    <w:rsid w:val="00BB0039"/>
    <w:rsid w:val="00BC13B1"/>
    <w:rsid w:val="00BE094A"/>
    <w:rsid w:val="00BE769B"/>
    <w:rsid w:val="00BF4C1D"/>
    <w:rsid w:val="00C00643"/>
    <w:rsid w:val="00C0274A"/>
    <w:rsid w:val="00C24BC2"/>
    <w:rsid w:val="00C5472E"/>
    <w:rsid w:val="00C9690D"/>
    <w:rsid w:val="00CA6801"/>
    <w:rsid w:val="00CB567E"/>
    <w:rsid w:val="00CD51AA"/>
    <w:rsid w:val="00D0162C"/>
    <w:rsid w:val="00D17757"/>
    <w:rsid w:val="00D269C2"/>
    <w:rsid w:val="00D40412"/>
    <w:rsid w:val="00D575C6"/>
    <w:rsid w:val="00D716F5"/>
    <w:rsid w:val="00D81CD6"/>
    <w:rsid w:val="00DA4DAB"/>
    <w:rsid w:val="00DD4B20"/>
    <w:rsid w:val="00E13775"/>
    <w:rsid w:val="00E34AEA"/>
    <w:rsid w:val="00E546C4"/>
    <w:rsid w:val="00E6650B"/>
    <w:rsid w:val="00E76077"/>
    <w:rsid w:val="00E81F1B"/>
    <w:rsid w:val="00E833A4"/>
    <w:rsid w:val="00EC10D4"/>
    <w:rsid w:val="00EC169C"/>
    <w:rsid w:val="00ED5895"/>
    <w:rsid w:val="00EE2503"/>
    <w:rsid w:val="00F33653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79B62-2842-4348-AF51-A5912393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أحمد البهي</cp:lastModifiedBy>
  <cp:revision>14</cp:revision>
  <dcterms:created xsi:type="dcterms:W3CDTF">2012-04-24T01:21:00Z</dcterms:created>
  <dcterms:modified xsi:type="dcterms:W3CDTF">2019-01-01T11:04:00Z</dcterms:modified>
</cp:coreProperties>
</file>