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A22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التمرينات</w:t>
            </w:r>
            <w:r w:rsidR="004F2930" w:rsidRPr="004F2930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القضائية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A22A3F" w:rsidRPr="00A22A3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103475</w:t>
            </w:r>
            <w:r w:rsidR="00A22A3F" w:rsidRP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22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 ساعات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22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A22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أعضاء هيئة التدريس بالقسم المتخصصين بالقضاء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22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22A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22A3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المحاكم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101569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10156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بالإجراءات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في الفقه الإسلامي والنظام القضائي السعودي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تأهيل الدارس في هذه المرحلة في جانب الأنظمة المعمول بها في المحاكم السعودية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تلبية حاجة العمل المرتبطة بعمل القضاء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</w:t>
            </w:r>
            <w:r w:rsidR="0010156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من المحاكم المختلفة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B73398" w:rsidP="004F293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مراجعة عامة لباب الدعاوى والقضاء والإجراءات القضائية.</w:t>
            </w:r>
          </w:p>
        </w:tc>
        <w:tc>
          <w:tcPr>
            <w:tcW w:w="1134" w:type="dxa"/>
            <w:vAlign w:val="center"/>
          </w:tcPr>
          <w:p w:rsidR="00E81F1B" w:rsidRPr="003F608A" w:rsidRDefault="00B7339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35" w:type="dxa"/>
            <w:vAlign w:val="center"/>
          </w:tcPr>
          <w:p w:rsidR="00E81F1B" w:rsidRPr="003F608A" w:rsidRDefault="00B7339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73398" w:rsidRDefault="00B73398" w:rsidP="00B73398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التدريب العملي على بعض القضايا التي يمكن أن يحكم فيها الطلاب.</w:t>
            </w:r>
          </w:p>
        </w:tc>
        <w:tc>
          <w:tcPr>
            <w:tcW w:w="1134" w:type="dxa"/>
            <w:vAlign w:val="center"/>
          </w:tcPr>
          <w:p w:rsidR="003B5CD2" w:rsidRPr="003F608A" w:rsidRDefault="00B7339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35" w:type="dxa"/>
            <w:vAlign w:val="center"/>
          </w:tcPr>
          <w:p w:rsidR="003B5CD2" w:rsidRPr="003F608A" w:rsidRDefault="00B7339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73398" w:rsidRDefault="00B73398" w:rsidP="00B73398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دراسة عدد كاف من الصكوك الصادرة من المحاكم لنقدها والاستفادة منها.</w:t>
            </w:r>
          </w:p>
        </w:tc>
        <w:tc>
          <w:tcPr>
            <w:tcW w:w="1134" w:type="dxa"/>
            <w:vAlign w:val="center"/>
          </w:tcPr>
          <w:p w:rsidR="003B5CD2" w:rsidRPr="003F608A" w:rsidRDefault="00B7339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35" w:type="dxa"/>
            <w:vAlign w:val="center"/>
          </w:tcPr>
          <w:p w:rsidR="003B5CD2" w:rsidRPr="003F608A" w:rsidRDefault="00B7339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</w:tbl>
    <w:p w:rsidR="008D7E95" w:rsidRDefault="008D7E95" w:rsidP="00E81F1B">
      <w:pPr>
        <w:rPr>
          <w:rFonts w:ascii="Arial" w:hAnsi="Arial" w:cs="AL-Mohanad" w:hint="cs"/>
          <w:sz w:val="28"/>
          <w:szCs w:val="28"/>
          <w:rtl/>
          <w:lang w:bidi="ar-EG"/>
        </w:rPr>
      </w:pPr>
    </w:p>
    <w:p w:rsidR="00B73398" w:rsidRDefault="00B73398" w:rsidP="00E81F1B">
      <w:pPr>
        <w:rPr>
          <w:rFonts w:ascii="Arial" w:hAnsi="Arial" w:cs="AL-Mohanad" w:hint="cs"/>
          <w:sz w:val="28"/>
          <w:szCs w:val="28"/>
          <w:rtl/>
          <w:lang w:bidi="ar-EG"/>
        </w:rPr>
      </w:pPr>
    </w:p>
    <w:p w:rsidR="00B73398" w:rsidRPr="00FC6260" w:rsidRDefault="00B73398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B73398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B73398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أصول القضاء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أسس التقاضي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0247D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التقاضي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اختصاصاتها الولائية والقضائية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B73398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للجهات المرتبطة بالقضاء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طبيعة عمل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القاضي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B733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التقاضي واختصاصاتها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B733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يخطط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طريقة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تحليل القضية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B733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القضاة في أحكامهم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B733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للقضاء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B733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B73398" w:rsidRDefault="00B73398" w:rsidP="00B73398">
            <w:pPr>
              <w:pStyle w:val="a6"/>
              <w:numPr>
                <w:ilvl w:val="1"/>
                <w:numId w:val="13"/>
              </w:numPr>
              <w:tabs>
                <w:tab w:val="right" w:pos="1593"/>
              </w:tabs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كتب القضاء والسياسة الشرعية.</w:t>
            </w:r>
          </w:p>
          <w:p w:rsidR="00E81F1B" w:rsidRPr="00136EB0" w:rsidRDefault="00B73398" w:rsidP="00B73398">
            <w:pPr>
              <w:pStyle w:val="a6"/>
              <w:numPr>
                <w:ilvl w:val="1"/>
                <w:numId w:val="13"/>
              </w:numPr>
              <w:tabs>
                <w:tab w:val="right" w:pos="1593"/>
              </w:tabs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كتب الفقه العام.</w:t>
            </w:r>
            <w:r w:rsidR="00136EB0" w:rsidRPr="00136EB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B73398" w:rsidRDefault="00E81F1B" w:rsidP="00B73398">
            <w:p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B73398" w:rsidRDefault="00B73398" w:rsidP="00B733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1E7ED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مجلة العدل.</w:t>
            </w:r>
          </w:p>
          <w:p w:rsidR="00E81F1B" w:rsidRPr="00FC6260" w:rsidRDefault="00B73398" w:rsidP="00B733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2. مجلة البحوث القضائية.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B73398" w:rsidRDefault="00E81F1B" w:rsidP="00B73398">
            <w:p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B73398" w:rsidRPr="00B73398" w:rsidRDefault="00B73398" w:rsidP="00B73398">
            <w:pPr>
              <w:pStyle w:val="a6"/>
              <w:numPr>
                <w:ilvl w:val="0"/>
                <w:numId w:val="38"/>
              </w:num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وزارة العدل على الرابط </w:t>
            </w:r>
            <w:hyperlink r:id="rId9" w:history="1">
              <w:r w:rsidRPr="00B73398">
                <w:rPr>
                  <w:rFonts w:ascii="Arial" w:hAnsi="Arial" w:cs="Traditional Arabic"/>
                  <w:b/>
                  <w:bCs/>
                  <w:sz w:val="28"/>
                  <w:szCs w:val="28"/>
                  <w:lang w:bidi="ar-EG"/>
                </w:rPr>
                <w:t>http://www.moj.gov.sa/</w:t>
              </w:r>
            </w:hyperlink>
            <w:r w:rsidRP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B73398" w:rsidRPr="00B73398" w:rsidRDefault="00B73398" w:rsidP="00B73398">
            <w:pPr>
              <w:pStyle w:val="a6"/>
              <w:numPr>
                <w:ilvl w:val="0"/>
                <w:numId w:val="38"/>
              </w:num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المجلس الأعلى للقضاء على الرابط</w:t>
            </w:r>
            <w:r w:rsidR="00A67DCE" w:rsidRPr="00A67DCE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  <w:hyperlink r:id="rId10" w:history="1">
              <w:r w:rsidR="00A67DCE" w:rsidRPr="00A67DCE">
                <w:rPr>
                  <w:rFonts w:ascii="Arial" w:hAnsi="Arial" w:cs="Traditional Arabic"/>
                  <w:b/>
                  <w:bCs/>
                  <w:sz w:val="28"/>
                  <w:szCs w:val="28"/>
                  <w:lang w:bidi="ar-EG"/>
                </w:rPr>
                <w:t>http://www.scj.gov.sa/</w:t>
              </w:r>
            </w:hyperlink>
          </w:p>
          <w:p w:rsidR="00E81F1B" w:rsidRPr="00B73398" w:rsidRDefault="00B73398" w:rsidP="00A67DCE">
            <w:pPr>
              <w:pStyle w:val="a6"/>
              <w:numPr>
                <w:ilvl w:val="0"/>
                <w:numId w:val="38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733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مجلس الشورى على الرابط</w:t>
            </w:r>
            <w:hyperlink r:id="rId11" w:history="1">
              <w:r w:rsidR="00A67DCE" w:rsidRPr="00A67DCE">
                <w:rPr>
                  <w:rFonts w:ascii="Arial" w:hAnsi="Arial" w:cs="Traditional Arabic"/>
                  <w:b/>
                  <w:bCs/>
                  <w:sz w:val="28"/>
                  <w:szCs w:val="28"/>
                  <w:lang w:bidi="ar-EG"/>
                </w:rPr>
                <w:t>http://www.shura.gov.sa/</w:t>
              </w:r>
            </w:hyperlink>
            <w:r w:rsidR="00150B61" w:rsidRPr="00B73398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12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4B" w:rsidRDefault="00B0474B" w:rsidP="00314301">
      <w:pPr>
        <w:spacing w:after="0" w:line="240" w:lineRule="auto"/>
      </w:pPr>
      <w:r>
        <w:separator/>
      </w:r>
    </w:p>
  </w:endnote>
  <w:endnote w:type="continuationSeparator" w:id="0">
    <w:p w:rsidR="00B0474B" w:rsidRDefault="00B0474B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E75D32">
        <w:pPr>
          <w:pStyle w:val="a3"/>
          <w:jc w:val="right"/>
        </w:pPr>
        <w:fldSimple w:instr=" PAGE   \* MERGEFORMAT ">
          <w:r w:rsidR="00A67DCE">
            <w:rPr>
              <w:noProof/>
              <w:rtl/>
            </w:rPr>
            <w:t>6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4B" w:rsidRDefault="00B0474B" w:rsidP="00314301">
      <w:pPr>
        <w:spacing w:after="0" w:line="240" w:lineRule="auto"/>
      </w:pPr>
      <w:r>
        <w:separator/>
      </w:r>
    </w:p>
  </w:footnote>
  <w:footnote w:type="continuationSeparator" w:id="0">
    <w:p w:rsidR="00B0474B" w:rsidRDefault="00B0474B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90CAC"/>
    <w:multiLevelType w:val="hybridMultilevel"/>
    <w:tmpl w:val="AB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0"/>
  </w:num>
  <w:num w:numId="5">
    <w:abstractNumId w:val="36"/>
  </w:num>
  <w:num w:numId="6">
    <w:abstractNumId w:val="19"/>
  </w:num>
  <w:num w:numId="7">
    <w:abstractNumId w:val="8"/>
  </w:num>
  <w:num w:numId="8">
    <w:abstractNumId w:val="32"/>
  </w:num>
  <w:num w:numId="9">
    <w:abstractNumId w:val="12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30"/>
  </w:num>
  <w:num w:numId="22">
    <w:abstractNumId w:val="13"/>
  </w:num>
  <w:num w:numId="23">
    <w:abstractNumId w:val="33"/>
  </w:num>
  <w:num w:numId="24">
    <w:abstractNumId w:val="35"/>
  </w:num>
  <w:num w:numId="25">
    <w:abstractNumId w:val="25"/>
  </w:num>
  <w:num w:numId="26">
    <w:abstractNumId w:val="15"/>
  </w:num>
  <w:num w:numId="27">
    <w:abstractNumId w:val="34"/>
  </w:num>
  <w:num w:numId="28">
    <w:abstractNumId w:val="17"/>
  </w:num>
  <w:num w:numId="29">
    <w:abstractNumId w:val="6"/>
  </w:num>
  <w:num w:numId="30">
    <w:abstractNumId w:val="29"/>
  </w:num>
  <w:num w:numId="31">
    <w:abstractNumId w:val="22"/>
  </w:num>
  <w:num w:numId="32">
    <w:abstractNumId w:val="37"/>
  </w:num>
  <w:num w:numId="33">
    <w:abstractNumId w:val="9"/>
  </w:num>
  <w:num w:numId="34">
    <w:abstractNumId w:val="28"/>
  </w:num>
  <w:num w:numId="35">
    <w:abstractNumId w:val="14"/>
  </w:num>
  <w:num w:numId="36">
    <w:abstractNumId w:val="18"/>
  </w:num>
  <w:num w:numId="37">
    <w:abstractNumId w:val="1"/>
  </w:num>
  <w:num w:numId="38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F0929"/>
    <w:rsid w:val="000F2DFE"/>
    <w:rsid w:val="00101569"/>
    <w:rsid w:val="0012264A"/>
    <w:rsid w:val="00136EB0"/>
    <w:rsid w:val="00150B61"/>
    <w:rsid w:val="001A6462"/>
    <w:rsid w:val="00206D28"/>
    <w:rsid w:val="00246FCD"/>
    <w:rsid w:val="00295394"/>
    <w:rsid w:val="002C68E3"/>
    <w:rsid w:val="002F0676"/>
    <w:rsid w:val="00314301"/>
    <w:rsid w:val="00336676"/>
    <w:rsid w:val="00340D7D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22A3F"/>
    <w:rsid w:val="00A67DCE"/>
    <w:rsid w:val="00A94704"/>
    <w:rsid w:val="00AA6774"/>
    <w:rsid w:val="00AD5BD7"/>
    <w:rsid w:val="00AF71D8"/>
    <w:rsid w:val="00B0474B"/>
    <w:rsid w:val="00B274E5"/>
    <w:rsid w:val="00B41727"/>
    <w:rsid w:val="00B41B5F"/>
    <w:rsid w:val="00B43147"/>
    <w:rsid w:val="00B638C9"/>
    <w:rsid w:val="00B73398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5D32"/>
    <w:rsid w:val="00E76077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A67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ura.gov.s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j.gov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.gov.s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7AF9-17BE-4C21-B522-40AF2A4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10</cp:revision>
  <dcterms:created xsi:type="dcterms:W3CDTF">2012-04-24T01:21:00Z</dcterms:created>
  <dcterms:modified xsi:type="dcterms:W3CDTF">2012-05-08T23:33:00Z</dcterms:modified>
</cp:coreProperties>
</file>