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0A3DF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0A3DF8">
              <w:rPr>
                <w:rFonts w:ascii="Arial" w:hAnsi="Arial" w:cs="AL-Mohanad Bold" w:hint="cs"/>
                <w:sz w:val="28"/>
                <w:szCs w:val="28"/>
                <w:rtl/>
              </w:rPr>
              <w:t>9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          103</w:t>
            </w:r>
            <w:r w:rsidR="000A3DF8">
              <w:rPr>
                <w:rFonts w:ascii="Arial" w:hAnsi="Arial" w:cs="AL-Mohanad Bold" w:hint="cs"/>
                <w:sz w:val="28"/>
                <w:szCs w:val="28"/>
                <w:rtl/>
              </w:rPr>
              <w:t>446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0A3DF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0A3DF8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0A3DF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0A3DF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</w:t>
            </w:r>
            <w:r w:rsidR="000A3DF8">
              <w:rPr>
                <w:rFonts w:ascii="Arial" w:hAnsi="Arial" w:cs="AL-Mohanad Bold" w:hint="cs"/>
                <w:sz w:val="28"/>
                <w:szCs w:val="28"/>
                <w:rtl/>
              </w:rPr>
              <w:t>سابع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0A3DF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0A3DF8">
              <w:rPr>
                <w:rFonts w:ascii="Arial" w:hAnsi="Arial" w:cs="AL-Mohanad Bold" w:hint="cs"/>
                <w:sz w:val="28"/>
                <w:szCs w:val="28"/>
                <w:rtl/>
              </w:rPr>
              <w:t>الفقه (8)   103445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0A3DF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الإيلاء</w:t>
            </w:r>
          </w:p>
        </w:tc>
        <w:tc>
          <w:tcPr>
            <w:tcW w:w="2040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0A3DF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الظهار</w:t>
            </w:r>
          </w:p>
        </w:tc>
        <w:tc>
          <w:tcPr>
            <w:tcW w:w="2040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0A3DF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اللعان</w:t>
            </w:r>
          </w:p>
        </w:tc>
        <w:tc>
          <w:tcPr>
            <w:tcW w:w="2040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0A3DF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040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0A3DF8" w:rsidP="000A3DF8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الاستبراء</w:t>
            </w:r>
          </w:p>
        </w:tc>
        <w:tc>
          <w:tcPr>
            <w:tcW w:w="2040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0A3DF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الرضاع</w:t>
            </w:r>
          </w:p>
        </w:tc>
        <w:tc>
          <w:tcPr>
            <w:tcW w:w="2040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0A3DF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النفقات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0A3DF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الحضانة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0A3DF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0A3DF8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ساعتان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8D46E6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معرفة أحكام </w:t>
            </w:r>
            <w:r w:rsidR="008D46E6">
              <w:rPr>
                <w:rFonts w:ascii="Arial" w:hAnsi="Arial" w:cs="AL-Mohanad Bold" w:hint="cs"/>
                <w:sz w:val="28"/>
                <w:szCs w:val="28"/>
                <w:rtl/>
              </w:rPr>
              <w:t>الإيلاء والظهار واللعان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.</w:t>
            </w:r>
          </w:p>
          <w:p w:rsidR="008D46E6" w:rsidRPr="00E71608" w:rsidRDefault="008D46E6" w:rsidP="008D46E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 أحكام العدد والرضاع والنفقات والحضانة</w:t>
            </w:r>
          </w:p>
          <w:p w:rsidR="00311117" w:rsidRPr="00E71608" w:rsidRDefault="00311117" w:rsidP="008D46E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أحكام </w:t>
            </w:r>
            <w:r w:rsidR="008D46E6">
              <w:rPr>
                <w:rFonts w:ascii="Arial" w:hAnsi="Arial" w:cs="AL-Mohanad Bold" w:hint="cs"/>
                <w:sz w:val="28"/>
                <w:szCs w:val="28"/>
                <w:rtl/>
              </w:rPr>
              <w:t>ما سبق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8D46E6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تكليف الطالب ببحث في </w:t>
            </w:r>
            <w:r w:rsidR="008D46E6">
              <w:rPr>
                <w:rFonts w:ascii="Arial" w:hAnsi="Arial" w:cs="AL-Mohanad Bold" w:hint="cs"/>
                <w:sz w:val="28"/>
                <w:szCs w:val="28"/>
                <w:rtl/>
              </w:rPr>
              <w:t>قضايا مستجدة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Default="00311117" w:rsidP="008D46E6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</w:t>
            </w:r>
            <w:r w:rsidR="008D46E6">
              <w:rPr>
                <w:rFonts w:ascii="Arial" w:hAnsi="Arial" w:cs="AL-Mohanad Bold" w:hint="cs"/>
                <w:sz w:val="28"/>
                <w:szCs w:val="28"/>
                <w:rtl/>
              </w:rPr>
              <w:t>الإيلاء والظهار واللعان</w:t>
            </w:r>
          </w:p>
          <w:p w:rsidR="008D46E6" w:rsidRPr="00CF6139" w:rsidRDefault="008D46E6" w:rsidP="008D46E6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القدرة على معرفة أحكام العدد والرضاع والنفقات والحضانة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بما في ذلك حجم الفصول والمختبرات (أي عدد المقاعد في الفصول والمختبرات ومدى توافر أجهزة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-عقد اجتماعات في نهاية كل فصل دراسي لأعضاء هيئة التدريس لمناقشة إيجابيات وسلبيات محتوى المقرر , واقتراح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9A" w:rsidRDefault="00F7329A" w:rsidP="000338B1">
      <w:r>
        <w:separator/>
      </w:r>
    </w:p>
  </w:endnote>
  <w:endnote w:type="continuationSeparator" w:id="1">
    <w:p w:rsidR="00F7329A" w:rsidRDefault="00F7329A" w:rsidP="0003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F7329A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9A" w:rsidRDefault="00F7329A" w:rsidP="000338B1">
      <w:r>
        <w:separator/>
      </w:r>
    </w:p>
  </w:footnote>
  <w:footnote w:type="continuationSeparator" w:id="1">
    <w:p w:rsidR="00F7329A" w:rsidRDefault="00F7329A" w:rsidP="0003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0338B1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F7329A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0338B1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6E6">
      <w:rPr>
        <w:rStyle w:val="a4"/>
        <w:noProof/>
      </w:rPr>
      <w:t>5</w:t>
    </w:r>
    <w:r>
      <w:rPr>
        <w:rStyle w:val="a4"/>
      </w:rPr>
      <w:fldChar w:fldCharType="end"/>
    </w:r>
  </w:p>
  <w:p w:rsidR="006E402D" w:rsidRDefault="00F7329A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0338B1"/>
    <w:rsid w:val="000A3DF8"/>
    <w:rsid w:val="00311117"/>
    <w:rsid w:val="004261FD"/>
    <w:rsid w:val="004B758B"/>
    <w:rsid w:val="0063432D"/>
    <w:rsid w:val="008D46E6"/>
    <w:rsid w:val="00F7329A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4</cp:revision>
  <dcterms:created xsi:type="dcterms:W3CDTF">2012-05-08T04:27:00Z</dcterms:created>
  <dcterms:modified xsi:type="dcterms:W3CDTF">2012-05-08T16:57:00Z</dcterms:modified>
</cp:coreProperties>
</file>